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4E6EC5" w14:textId="77777777" w:rsidR="00D1027A" w:rsidRDefault="00D1027A">
      <w:pPr>
        <w:spacing w:line="276" w:lineRule="auto"/>
        <w:rPr>
          <w:rFonts w:ascii="Avenir" w:eastAsia="Avenir" w:hAnsi="Avenir" w:cs="Avenir"/>
          <w:b/>
          <w:sz w:val="24"/>
          <w:szCs w:val="24"/>
        </w:rPr>
      </w:pPr>
      <w:bookmarkStart w:id="0" w:name="_GoBack"/>
      <w:bookmarkEnd w:id="0"/>
      <w:r w:rsidRPr="00D1027A">
        <w:rPr>
          <w:rFonts w:ascii="Avenir" w:eastAsia="Avenir" w:hAnsi="Avenir" w:cs="Avenir"/>
          <w:b/>
          <w:sz w:val="24"/>
          <w:szCs w:val="24"/>
        </w:rPr>
        <w:t>CO</w:t>
      </w:r>
      <w:r w:rsidRPr="00D1027A">
        <w:rPr>
          <w:rFonts w:ascii="Avenir" w:eastAsia="Avenir" w:hAnsi="Avenir" w:cs="Avenir"/>
          <w:b/>
          <w:sz w:val="24"/>
          <w:szCs w:val="24"/>
          <w:vertAlign w:val="subscript"/>
        </w:rPr>
        <w:t>2</w:t>
      </w:r>
      <w:r w:rsidRPr="00D1027A">
        <w:rPr>
          <w:rFonts w:ascii="Avenir" w:eastAsia="Avenir" w:hAnsi="Avenir" w:cs="Avenir"/>
          <w:b/>
          <w:sz w:val="24"/>
          <w:szCs w:val="24"/>
        </w:rPr>
        <w:t>-rich xenoliths at Mt. Vulture volcano (southern Italy): new constraints on the volcano plumbing system</w:t>
      </w:r>
    </w:p>
    <w:p w14:paraId="7423396C" w14:textId="0CB338BC" w:rsidR="00AB2037" w:rsidRDefault="00D1027A">
      <w:pPr>
        <w:spacing w:line="276" w:lineRule="auto"/>
        <w:rPr>
          <w:rFonts w:ascii="Avenir" w:eastAsia="Avenir" w:hAnsi="Avenir" w:cs="Avenir"/>
        </w:rPr>
      </w:pPr>
      <w:r>
        <w:rPr>
          <w:rFonts w:ascii="Avenir" w:eastAsia="Avenir" w:hAnsi="Avenir" w:cs="Avenir"/>
          <w:u w:val="single"/>
        </w:rPr>
        <w:t>Carnevale G.</w:t>
      </w:r>
      <w:r>
        <w:rPr>
          <w:rFonts w:ascii="Avenir" w:eastAsia="Avenir" w:hAnsi="Avenir" w:cs="Avenir"/>
          <w:u w:val="single"/>
          <w:vertAlign w:val="superscript"/>
        </w:rPr>
        <w:t>1,2</w:t>
      </w:r>
      <w:r>
        <w:rPr>
          <w:rFonts w:ascii="Avenir" w:eastAsia="Avenir" w:hAnsi="Avenir" w:cs="Avenir"/>
          <w:vertAlign w:val="superscript"/>
        </w:rPr>
        <w:t>*</w:t>
      </w:r>
      <w:r>
        <w:rPr>
          <w:rFonts w:ascii="Avenir" w:eastAsia="Avenir" w:hAnsi="Avenir" w:cs="Avenir"/>
        </w:rPr>
        <w:t>, Caracausi A.</w:t>
      </w:r>
      <w:r>
        <w:rPr>
          <w:rFonts w:ascii="Avenir" w:eastAsia="Avenir" w:hAnsi="Avenir" w:cs="Avenir"/>
          <w:vertAlign w:val="superscript"/>
        </w:rPr>
        <w:t xml:space="preserve"> 2,3</w:t>
      </w:r>
      <w:r>
        <w:rPr>
          <w:rFonts w:ascii="Avenir" w:eastAsia="Avenir" w:hAnsi="Avenir" w:cs="Avenir"/>
        </w:rPr>
        <w:t>, Coltorti M.</w:t>
      </w:r>
      <w:r>
        <w:rPr>
          <w:rFonts w:ascii="Avenir" w:eastAsia="Avenir" w:hAnsi="Avenir" w:cs="Avenir"/>
          <w:vertAlign w:val="superscript"/>
        </w:rPr>
        <w:t xml:space="preserve"> 4</w:t>
      </w:r>
      <w:r>
        <w:rPr>
          <w:rFonts w:ascii="Avenir" w:eastAsia="Avenir" w:hAnsi="Avenir" w:cs="Avenir"/>
        </w:rPr>
        <w:t>,</w:t>
      </w:r>
      <w:r w:rsidRPr="00D1027A">
        <w:rPr>
          <w:rFonts w:ascii="Avenir" w:eastAsia="Avenir" w:hAnsi="Avenir" w:cs="Avenir"/>
        </w:rPr>
        <w:t xml:space="preserve"> </w:t>
      </w:r>
      <w:r>
        <w:rPr>
          <w:rFonts w:ascii="Avenir" w:eastAsia="Avenir" w:hAnsi="Avenir" w:cs="Avenir"/>
        </w:rPr>
        <w:t>Faccini B.</w:t>
      </w:r>
      <w:r>
        <w:rPr>
          <w:rFonts w:ascii="Avenir" w:eastAsia="Avenir" w:hAnsi="Avenir" w:cs="Avenir"/>
          <w:vertAlign w:val="superscript"/>
        </w:rPr>
        <w:t xml:space="preserve"> 4</w:t>
      </w:r>
      <w:r>
        <w:rPr>
          <w:rFonts w:ascii="Avenir" w:eastAsia="Avenir" w:hAnsi="Avenir" w:cs="Avenir"/>
        </w:rPr>
        <w:t>, Marras G.</w:t>
      </w:r>
      <w:r>
        <w:rPr>
          <w:rFonts w:ascii="Avenir" w:eastAsia="Avenir" w:hAnsi="Avenir" w:cs="Avenir"/>
          <w:vertAlign w:val="superscript"/>
        </w:rPr>
        <w:t xml:space="preserve"> 5</w:t>
      </w:r>
      <w:r>
        <w:rPr>
          <w:rFonts w:ascii="Avenir" w:eastAsia="Avenir" w:hAnsi="Avenir" w:cs="Avenir"/>
        </w:rPr>
        <w:t>,</w:t>
      </w:r>
      <w:r w:rsidRPr="00D1027A">
        <w:rPr>
          <w:rFonts w:ascii="Avenir" w:eastAsia="Avenir" w:hAnsi="Avenir" w:cs="Avenir"/>
        </w:rPr>
        <w:t xml:space="preserve"> </w:t>
      </w:r>
      <w:r>
        <w:rPr>
          <w:rFonts w:ascii="Avenir" w:eastAsia="Avenir" w:hAnsi="Avenir" w:cs="Avenir"/>
        </w:rPr>
        <w:t>Paternoster M.</w:t>
      </w:r>
      <w:r>
        <w:rPr>
          <w:rFonts w:ascii="Avenir" w:eastAsia="Avenir" w:hAnsi="Avenir" w:cs="Avenir"/>
          <w:vertAlign w:val="superscript"/>
        </w:rPr>
        <w:t xml:space="preserve"> 2,6</w:t>
      </w:r>
      <w:r>
        <w:rPr>
          <w:rFonts w:ascii="Avenir" w:eastAsia="Avenir" w:hAnsi="Avenir" w:cs="Avenir"/>
        </w:rPr>
        <w:t>, Rotolo S.G.</w:t>
      </w:r>
      <w:r>
        <w:rPr>
          <w:rFonts w:ascii="Avenir" w:eastAsia="Avenir" w:hAnsi="Avenir" w:cs="Avenir"/>
          <w:vertAlign w:val="superscript"/>
        </w:rPr>
        <w:t xml:space="preserve"> 1</w:t>
      </w:r>
      <w:r w:rsidR="00777105">
        <w:rPr>
          <w:rFonts w:ascii="Avenir" w:eastAsia="Avenir" w:hAnsi="Avenir" w:cs="Avenir"/>
          <w:vertAlign w:val="superscript"/>
        </w:rPr>
        <w:t>,2</w:t>
      </w:r>
      <w:r>
        <w:rPr>
          <w:rFonts w:ascii="Avenir" w:eastAsia="Avenir" w:hAnsi="Avenir" w:cs="Avenir"/>
        </w:rPr>
        <w:t>,</w:t>
      </w:r>
      <w:r w:rsidRPr="00D1027A">
        <w:rPr>
          <w:rFonts w:ascii="Avenir" w:eastAsia="Avenir" w:hAnsi="Avenir" w:cs="Avenir"/>
        </w:rPr>
        <w:t xml:space="preserve"> </w:t>
      </w:r>
      <w:r>
        <w:rPr>
          <w:rFonts w:ascii="Avenir" w:eastAsia="Avenir" w:hAnsi="Avenir" w:cs="Avenir"/>
        </w:rPr>
        <w:t>Stagno V.</w:t>
      </w:r>
      <w:r>
        <w:rPr>
          <w:rFonts w:ascii="Avenir" w:eastAsia="Avenir" w:hAnsi="Avenir" w:cs="Avenir"/>
          <w:vertAlign w:val="superscript"/>
        </w:rPr>
        <w:t xml:space="preserve"> 5,2</w:t>
      </w:r>
      <w:r>
        <w:rPr>
          <w:rFonts w:ascii="Avenir" w:eastAsia="Avenir" w:hAnsi="Avenir" w:cs="Avenir"/>
        </w:rPr>
        <w:t>,</w:t>
      </w:r>
      <w:r w:rsidRPr="00D1027A">
        <w:rPr>
          <w:rFonts w:ascii="Avenir" w:eastAsia="Avenir" w:hAnsi="Avenir" w:cs="Avenir"/>
        </w:rPr>
        <w:t xml:space="preserve"> </w:t>
      </w:r>
      <w:r>
        <w:rPr>
          <w:rFonts w:ascii="Avenir" w:eastAsia="Avenir" w:hAnsi="Avenir" w:cs="Avenir"/>
        </w:rPr>
        <w:t>Zanon V.</w:t>
      </w:r>
      <w:r>
        <w:rPr>
          <w:rFonts w:ascii="Avenir" w:eastAsia="Avenir" w:hAnsi="Avenir" w:cs="Avenir"/>
          <w:vertAlign w:val="superscript"/>
        </w:rPr>
        <w:t xml:space="preserve"> 7</w:t>
      </w:r>
      <w:r>
        <w:rPr>
          <w:rFonts w:ascii="Avenir" w:eastAsia="Avenir" w:hAnsi="Avenir" w:cs="Avenir"/>
        </w:rPr>
        <w:t>, Zummo F.</w:t>
      </w:r>
      <w:r>
        <w:rPr>
          <w:rFonts w:ascii="Avenir" w:eastAsia="Avenir" w:hAnsi="Avenir" w:cs="Avenir"/>
          <w:vertAlign w:val="superscript"/>
        </w:rPr>
        <w:t xml:space="preserve"> 6</w:t>
      </w:r>
    </w:p>
    <w:p w14:paraId="065EEC9C" w14:textId="5294463C" w:rsidR="00AB2037" w:rsidRDefault="00AA1CEA">
      <w:pPr>
        <w:spacing w:line="276" w:lineRule="auto"/>
        <w:rPr>
          <w:rFonts w:ascii="Avenir" w:eastAsia="Avenir" w:hAnsi="Avenir" w:cs="Avenir"/>
          <w:i/>
          <w:sz w:val="20"/>
          <w:szCs w:val="20"/>
        </w:rPr>
      </w:pPr>
      <w:r>
        <w:rPr>
          <w:rFonts w:ascii="Avenir" w:eastAsia="Avenir" w:hAnsi="Avenir" w:cs="Avenir"/>
          <w:i/>
          <w:sz w:val="20"/>
          <w:szCs w:val="20"/>
          <w:vertAlign w:val="superscript"/>
        </w:rPr>
        <w:t>1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  <w:r w:rsidR="00D1027A" w:rsidRPr="00D1027A">
        <w:rPr>
          <w:rFonts w:ascii="Avenir" w:eastAsia="Avenir" w:hAnsi="Avenir" w:cs="Avenir"/>
          <w:i/>
          <w:sz w:val="20"/>
          <w:szCs w:val="20"/>
        </w:rPr>
        <w:t>Dipartimento di Scienze della Terra e del Mare, Università degli Studi di Palermo, Palermo, Italy</w:t>
      </w:r>
      <w:r>
        <w:rPr>
          <w:rFonts w:ascii="Avenir" w:eastAsia="Avenir" w:hAnsi="Avenir" w:cs="Avenir"/>
          <w:i/>
          <w:sz w:val="20"/>
          <w:szCs w:val="20"/>
        </w:rPr>
        <w:t xml:space="preserve">; </w:t>
      </w:r>
      <w:r w:rsidRPr="00D1027A">
        <w:rPr>
          <w:rFonts w:ascii="Avenir" w:eastAsia="Avenir" w:hAnsi="Avenir" w:cs="Avenir"/>
          <w:i/>
          <w:sz w:val="20"/>
          <w:szCs w:val="20"/>
          <w:vertAlign w:val="superscript"/>
        </w:rPr>
        <w:t>2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  <w:r w:rsidR="00D1027A" w:rsidRPr="00D1027A">
        <w:rPr>
          <w:rFonts w:ascii="Avenir" w:eastAsia="Avenir" w:hAnsi="Avenir" w:cs="Avenir"/>
          <w:i/>
          <w:sz w:val="20"/>
          <w:szCs w:val="20"/>
        </w:rPr>
        <w:t>Istituto Nazionale di Geofisica e Vulcanologia, Palermo, Italy</w:t>
      </w:r>
      <w:r w:rsidR="00D1027A">
        <w:rPr>
          <w:rFonts w:ascii="Avenir" w:eastAsia="Avenir" w:hAnsi="Avenir" w:cs="Avenir"/>
          <w:i/>
          <w:sz w:val="20"/>
          <w:szCs w:val="20"/>
        </w:rPr>
        <w:t>;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  <w:r w:rsidRPr="00D1027A">
        <w:rPr>
          <w:rFonts w:ascii="Avenir" w:eastAsia="Avenir" w:hAnsi="Avenir" w:cs="Avenir"/>
          <w:i/>
          <w:sz w:val="20"/>
          <w:szCs w:val="20"/>
          <w:vertAlign w:val="superscript"/>
        </w:rPr>
        <w:t>3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  <w:r w:rsidR="00D1027A" w:rsidRPr="00D1027A">
        <w:rPr>
          <w:rFonts w:ascii="Avenir" w:eastAsia="Avenir" w:hAnsi="Avenir" w:cs="Avenir"/>
          <w:i/>
          <w:sz w:val="20"/>
          <w:szCs w:val="20"/>
        </w:rPr>
        <w:t>Departamento de Geología, Universidad de Salamanca, Salamanca, Spain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; </w:t>
      </w:r>
      <w:r w:rsidR="00D1027A">
        <w:rPr>
          <w:rFonts w:ascii="Avenir" w:eastAsia="Avenir" w:hAnsi="Avenir" w:cs="Avenir"/>
          <w:i/>
          <w:sz w:val="20"/>
          <w:szCs w:val="20"/>
          <w:vertAlign w:val="superscript"/>
        </w:rPr>
        <w:t>4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 </w:t>
      </w:r>
      <w:r w:rsidR="00D1027A" w:rsidRPr="00D1027A">
        <w:rPr>
          <w:rFonts w:ascii="Avenir" w:eastAsia="Avenir" w:hAnsi="Avenir" w:cs="Avenir"/>
          <w:i/>
          <w:sz w:val="20"/>
          <w:szCs w:val="20"/>
        </w:rPr>
        <w:t>Dipartimento di Fisica e Scienze della Terra, Università di Ferrara, Ferrara, Italy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; </w:t>
      </w:r>
      <w:r w:rsidR="00D1027A">
        <w:rPr>
          <w:rFonts w:ascii="Avenir" w:eastAsia="Avenir" w:hAnsi="Avenir" w:cs="Avenir"/>
          <w:i/>
          <w:sz w:val="20"/>
          <w:szCs w:val="20"/>
          <w:vertAlign w:val="superscript"/>
        </w:rPr>
        <w:t>5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 </w:t>
      </w:r>
      <w:r w:rsidR="00D1027A" w:rsidRPr="00D1027A">
        <w:rPr>
          <w:rFonts w:ascii="Avenir" w:eastAsia="Avenir" w:hAnsi="Avenir" w:cs="Avenir"/>
          <w:i/>
          <w:sz w:val="20"/>
          <w:szCs w:val="20"/>
        </w:rPr>
        <w:t>Dipartimento di Scienze della Terra, Sapienza Università di Roma, Rome, Italy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; </w:t>
      </w:r>
      <w:r w:rsidR="00D1027A">
        <w:rPr>
          <w:rFonts w:ascii="Avenir" w:eastAsia="Avenir" w:hAnsi="Avenir" w:cs="Avenir"/>
          <w:i/>
          <w:sz w:val="20"/>
          <w:szCs w:val="20"/>
          <w:vertAlign w:val="superscript"/>
        </w:rPr>
        <w:t>6</w:t>
      </w:r>
      <w:r w:rsidR="00D1027A">
        <w:rPr>
          <w:rFonts w:ascii="Avenir" w:eastAsia="Avenir" w:hAnsi="Avenir" w:cs="Avenir"/>
          <w:i/>
          <w:sz w:val="20"/>
          <w:szCs w:val="20"/>
        </w:rPr>
        <w:t xml:space="preserve"> </w:t>
      </w:r>
      <w:r w:rsidR="00777105" w:rsidRPr="00777105">
        <w:rPr>
          <w:rFonts w:ascii="Avenir" w:eastAsia="Avenir" w:hAnsi="Avenir" w:cs="Avenir"/>
          <w:i/>
          <w:sz w:val="20"/>
          <w:szCs w:val="20"/>
        </w:rPr>
        <w:t>Dipartimento di Scienze, Università della Basilicata, Potenza, Italy</w:t>
      </w:r>
      <w:r w:rsidR="00777105">
        <w:rPr>
          <w:rFonts w:ascii="Avenir" w:eastAsia="Avenir" w:hAnsi="Avenir" w:cs="Avenir"/>
          <w:i/>
          <w:sz w:val="20"/>
          <w:szCs w:val="20"/>
        </w:rPr>
        <w:t xml:space="preserve">; </w:t>
      </w:r>
      <w:r w:rsidR="00777105">
        <w:rPr>
          <w:rFonts w:ascii="Avenir" w:eastAsia="Avenir" w:hAnsi="Avenir" w:cs="Avenir"/>
          <w:i/>
          <w:sz w:val="20"/>
          <w:szCs w:val="20"/>
          <w:vertAlign w:val="superscript"/>
        </w:rPr>
        <w:t>7</w:t>
      </w:r>
      <w:r w:rsidR="00777105">
        <w:rPr>
          <w:rFonts w:ascii="Avenir" w:eastAsia="Avenir" w:hAnsi="Avenir" w:cs="Avenir"/>
          <w:i/>
          <w:sz w:val="20"/>
          <w:szCs w:val="20"/>
        </w:rPr>
        <w:t xml:space="preserve"> </w:t>
      </w:r>
      <w:r w:rsidR="00777105" w:rsidRPr="00777105">
        <w:rPr>
          <w:rFonts w:ascii="Avenir" w:eastAsia="Avenir" w:hAnsi="Avenir" w:cs="Avenir"/>
          <w:i/>
          <w:sz w:val="20"/>
          <w:szCs w:val="20"/>
        </w:rPr>
        <w:t>Instituto de Investigação em Vulcanologia e Avaliação de Riscos, Universidade dos Açores, Ponta Delgada, Portugal</w:t>
      </w:r>
      <w:r w:rsidR="00777105">
        <w:rPr>
          <w:rFonts w:ascii="Avenir" w:eastAsia="Avenir" w:hAnsi="Avenir" w:cs="Avenir"/>
          <w:i/>
          <w:sz w:val="20"/>
          <w:szCs w:val="20"/>
        </w:rPr>
        <w:t>.</w:t>
      </w:r>
    </w:p>
    <w:p w14:paraId="02A7C044" w14:textId="6DEA84C7" w:rsidR="00AB2037" w:rsidRDefault="00AA1CEA">
      <w:pPr>
        <w:spacing w:line="276" w:lineRule="auto"/>
        <w:rPr>
          <w:rFonts w:ascii="Avenir" w:eastAsia="Avenir" w:hAnsi="Avenir" w:cs="Avenir"/>
          <w:i/>
          <w:sz w:val="20"/>
          <w:szCs w:val="20"/>
        </w:rPr>
      </w:pPr>
      <w:r>
        <w:rPr>
          <w:rFonts w:ascii="Avenir" w:eastAsia="Avenir" w:hAnsi="Avenir" w:cs="Avenir"/>
          <w:i/>
          <w:sz w:val="20"/>
          <w:szCs w:val="20"/>
        </w:rPr>
        <w:t>*</w:t>
      </w:r>
      <w:r>
        <w:rPr>
          <w:rFonts w:ascii="Avenir" w:eastAsia="Avenir" w:hAnsi="Avenir" w:cs="Avenir"/>
        </w:rPr>
        <w:t xml:space="preserve"> </w:t>
      </w:r>
      <w:r>
        <w:rPr>
          <w:rFonts w:ascii="Avenir" w:eastAsia="Avenir" w:hAnsi="Avenir" w:cs="Avenir"/>
          <w:i/>
          <w:sz w:val="20"/>
          <w:szCs w:val="20"/>
        </w:rPr>
        <w:t>e-mail</w:t>
      </w:r>
      <w:r w:rsidR="00777105">
        <w:rPr>
          <w:rFonts w:ascii="Avenir" w:eastAsia="Avenir" w:hAnsi="Avenir" w:cs="Avenir"/>
          <w:i/>
          <w:sz w:val="20"/>
          <w:szCs w:val="20"/>
        </w:rPr>
        <w:t>: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  <w:r w:rsidR="00777105">
        <w:rPr>
          <w:rFonts w:ascii="Avenir" w:eastAsia="Avenir" w:hAnsi="Avenir" w:cs="Avenir"/>
          <w:i/>
          <w:sz w:val="20"/>
          <w:szCs w:val="20"/>
        </w:rPr>
        <w:t>gabriele.carnevale</w:t>
      </w:r>
      <w:r w:rsidR="00777105" w:rsidRPr="00AA1CEA">
        <w:rPr>
          <w:rFonts w:ascii="Avenir" w:eastAsia="Avenir" w:hAnsi="Avenir" w:cs="Avenir"/>
          <w:i/>
          <w:sz w:val="20"/>
          <w:szCs w:val="20"/>
          <w:lang w:val="it-IT"/>
        </w:rPr>
        <w:t>@unipa.it</w:t>
      </w:r>
      <w:r>
        <w:rPr>
          <w:rFonts w:ascii="Avenir" w:eastAsia="Avenir" w:hAnsi="Avenir" w:cs="Avenir"/>
          <w:i/>
          <w:sz w:val="20"/>
          <w:szCs w:val="20"/>
        </w:rPr>
        <w:t xml:space="preserve"> </w:t>
      </w:r>
    </w:p>
    <w:p w14:paraId="7887AEE4" w14:textId="77777777" w:rsidR="00AB2037" w:rsidRDefault="00AB2037">
      <w:pPr>
        <w:spacing w:line="276" w:lineRule="auto"/>
        <w:rPr>
          <w:rFonts w:ascii="Verdana" w:eastAsia="Verdana" w:hAnsi="Verdana" w:cs="Verdana"/>
          <w:i/>
          <w:sz w:val="18"/>
          <w:szCs w:val="18"/>
        </w:rPr>
        <w:sectPr w:rsidR="00AB2037">
          <w:pgSz w:w="11906" w:h="16838"/>
          <w:pgMar w:top="1440" w:right="1440" w:bottom="1440" w:left="1440" w:header="708" w:footer="708" w:gutter="0"/>
          <w:pgNumType w:start="1"/>
          <w:cols w:space="720"/>
        </w:sectPr>
      </w:pPr>
    </w:p>
    <w:p w14:paraId="368D313E" w14:textId="043C7A84" w:rsidR="00777105" w:rsidRDefault="00777105">
      <w:pPr>
        <w:spacing w:after="120" w:line="240" w:lineRule="auto"/>
        <w:jc w:val="both"/>
        <w:rPr>
          <w:rFonts w:ascii="Avenir" w:eastAsia="Avenir" w:hAnsi="Avenir" w:cs="Avenir"/>
          <w:sz w:val="20"/>
          <w:szCs w:val="20"/>
        </w:rPr>
      </w:pPr>
      <w:r w:rsidRPr="00777105">
        <w:rPr>
          <w:rFonts w:ascii="Avenir" w:eastAsia="Avenir" w:hAnsi="Avenir" w:cs="Avenir"/>
          <w:sz w:val="20"/>
          <w:szCs w:val="20"/>
        </w:rPr>
        <w:t>This study provides new mineral chemistry data together with micro-thermometric measurements on fluid inclusions</w:t>
      </w:r>
      <w:r w:rsidR="006B089A">
        <w:rPr>
          <w:rFonts w:ascii="Avenir" w:eastAsia="Avenir" w:hAnsi="Avenir" w:cs="Avenir"/>
          <w:sz w:val="20"/>
          <w:szCs w:val="20"/>
        </w:rPr>
        <w:t xml:space="preserve"> (FIs)</w:t>
      </w:r>
      <w:r w:rsidRPr="00777105">
        <w:rPr>
          <w:rFonts w:ascii="Avenir" w:eastAsia="Avenir" w:hAnsi="Avenir" w:cs="Avenir"/>
          <w:sz w:val="20"/>
          <w:szCs w:val="20"/>
        </w:rPr>
        <w:t xml:space="preserve"> hosted in ultramafic xenoliths (lherzolite, wehrlite, and dunite) brought to the surface by the last Mt. Vulture volcano activity (140 ka; </w:t>
      </w:r>
      <w:r w:rsidR="003A7603">
        <w:rPr>
          <w:rFonts w:ascii="Avenir" w:eastAsia="Avenir" w:hAnsi="Avenir" w:cs="Avenir"/>
          <w:sz w:val="20"/>
          <w:szCs w:val="20"/>
        </w:rPr>
        <w:t>southern Italy</w:t>
      </w:r>
      <w:r w:rsidRPr="00777105">
        <w:rPr>
          <w:rFonts w:ascii="Avenir" w:eastAsia="Avenir" w:hAnsi="Avenir" w:cs="Avenir"/>
          <w:sz w:val="20"/>
          <w:szCs w:val="20"/>
        </w:rPr>
        <w:t>), and fed by melilitite-carbonatite magma</w:t>
      </w:r>
      <w:r>
        <w:rPr>
          <w:rFonts w:ascii="Avenir" w:eastAsia="Avenir" w:hAnsi="Avenir" w:cs="Avenir"/>
          <w:sz w:val="20"/>
          <w:szCs w:val="20"/>
        </w:rPr>
        <w:t>s</w:t>
      </w:r>
      <w:r w:rsidR="006B089A">
        <w:rPr>
          <w:rFonts w:ascii="Avenir" w:eastAsia="Avenir" w:hAnsi="Avenir" w:cs="Avenir"/>
          <w:sz w:val="20"/>
          <w:szCs w:val="20"/>
        </w:rPr>
        <w:t>.</w:t>
      </w:r>
    </w:p>
    <w:p w14:paraId="796D2E2E" w14:textId="114CD394" w:rsidR="006B089A" w:rsidRDefault="003F138E" w:rsidP="003F138E">
      <w:pPr>
        <w:spacing w:after="120" w:line="240" w:lineRule="auto"/>
        <w:jc w:val="both"/>
        <w:rPr>
          <w:rFonts w:ascii="Avenir" w:eastAsia="Avenir" w:hAnsi="Avenir" w:cs="Avenir"/>
          <w:sz w:val="20"/>
          <w:szCs w:val="20"/>
        </w:rPr>
      </w:pPr>
      <w:r w:rsidRPr="003F138E">
        <w:rPr>
          <w:rFonts w:ascii="Avenir" w:eastAsia="Avenir" w:hAnsi="Avenir" w:cs="Avenir"/>
          <w:sz w:val="20"/>
          <w:szCs w:val="20"/>
        </w:rPr>
        <w:t>Mantle xenoliths were collected from a compact, fine-grained, carbonate-dominated matrix in an ash-tuff deposit</w:t>
      </w:r>
      <w:r w:rsidR="00BB5B9E">
        <w:rPr>
          <w:rFonts w:ascii="Avenir" w:eastAsia="Avenir" w:hAnsi="Avenir" w:cs="Avenir"/>
          <w:sz w:val="20"/>
          <w:szCs w:val="20"/>
        </w:rPr>
        <w:t xml:space="preserve"> (Carnevale et al., 2022)</w:t>
      </w:r>
      <w:r>
        <w:rPr>
          <w:rFonts w:ascii="Avenir" w:eastAsia="Avenir" w:hAnsi="Avenir" w:cs="Avenir"/>
          <w:sz w:val="20"/>
          <w:szCs w:val="20"/>
        </w:rPr>
        <w:t xml:space="preserve">. </w:t>
      </w:r>
      <w:r w:rsidRPr="003F138E">
        <w:rPr>
          <w:rFonts w:ascii="Avenir" w:eastAsia="Avenir" w:hAnsi="Avenir" w:cs="Avenir"/>
          <w:sz w:val="20"/>
          <w:szCs w:val="20"/>
        </w:rPr>
        <w:t>They are rounded, with an average diameter of 4-5 cm (wehrlite and dunite) and a maximum of 10 cm (lherzolite). The lherzolite</w:t>
      </w:r>
      <w:r>
        <w:rPr>
          <w:rFonts w:ascii="Avenir" w:eastAsia="Avenir" w:hAnsi="Avenir" w:cs="Avenir"/>
          <w:sz w:val="20"/>
          <w:szCs w:val="20"/>
        </w:rPr>
        <w:t xml:space="preserve"> </w:t>
      </w:r>
      <w:r w:rsidRPr="003F138E">
        <w:rPr>
          <w:rFonts w:ascii="Avenir" w:eastAsia="Avenir" w:hAnsi="Avenir" w:cs="Avenir"/>
          <w:sz w:val="20"/>
          <w:szCs w:val="20"/>
        </w:rPr>
        <w:t>is fine- to medium-grained (0.5-1 mm), the wehrlite and dunite are medium- to coarse-grained (2-5 mm). The texture is protogranular, except for the dunite which shows a transitional texture between porphyroclastic and tabular equigranular. Olivine usually shows undulose extinction and intracrystalline deformation structures</w:t>
      </w:r>
      <w:r w:rsidR="0059686F">
        <w:rPr>
          <w:rFonts w:ascii="Avenir" w:eastAsia="Avenir" w:hAnsi="Avenir" w:cs="Avenir"/>
          <w:sz w:val="20"/>
          <w:szCs w:val="20"/>
        </w:rPr>
        <w:t>.</w:t>
      </w:r>
      <w:r w:rsidR="003F1B89">
        <w:rPr>
          <w:rFonts w:ascii="Avenir" w:eastAsia="Avenir" w:hAnsi="Avenir" w:cs="Avenir"/>
          <w:sz w:val="20"/>
          <w:szCs w:val="20"/>
        </w:rPr>
        <w:t xml:space="preserve"> </w:t>
      </w:r>
      <w:r w:rsidRPr="003F138E">
        <w:rPr>
          <w:rFonts w:ascii="Avenir" w:eastAsia="Avenir" w:hAnsi="Avenir" w:cs="Avenir"/>
          <w:sz w:val="20"/>
          <w:szCs w:val="20"/>
        </w:rPr>
        <w:t>Olivine shows an almost constant chemical composition all across the crystal (e.g. Fo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89-90</w:t>
      </w:r>
      <w:r w:rsidRPr="003F138E">
        <w:rPr>
          <w:rFonts w:ascii="Avenir" w:eastAsia="Avenir" w:hAnsi="Avenir" w:cs="Avenir"/>
          <w:sz w:val="20"/>
          <w:szCs w:val="20"/>
        </w:rPr>
        <w:t>). Orthopyroxene is exclusively found in lherzolite</w:t>
      </w:r>
      <w:r w:rsidR="00FC25A6">
        <w:rPr>
          <w:rFonts w:ascii="Avenir" w:eastAsia="Avenir" w:hAnsi="Avenir" w:cs="Avenir"/>
          <w:sz w:val="20"/>
          <w:szCs w:val="20"/>
        </w:rPr>
        <w:t xml:space="preserve"> and</w:t>
      </w:r>
      <w:r w:rsidRPr="003F138E">
        <w:rPr>
          <w:rFonts w:ascii="Avenir" w:eastAsia="Avenir" w:hAnsi="Avenir" w:cs="Avenir"/>
          <w:sz w:val="20"/>
          <w:szCs w:val="20"/>
        </w:rPr>
        <w:t xml:space="preserve"> </w:t>
      </w:r>
      <w:r w:rsidR="00FC25A6">
        <w:rPr>
          <w:rFonts w:ascii="Avenir" w:eastAsia="Avenir" w:hAnsi="Avenir" w:cs="Avenir"/>
          <w:sz w:val="20"/>
          <w:szCs w:val="20"/>
        </w:rPr>
        <w:t>i</w:t>
      </w:r>
      <w:r w:rsidRPr="003F138E">
        <w:rPr>
          <w:rFonts w:ascii="Avenir" w:eastAsia="Avenir" w:hAnsi="Avenir" w:cs="Avenir"/>
          <w:sz w:val="20"/>
          <w:szCs w:val="20"/>
        </w:rPr>
        <w:t>ts composition shows a high proportion of enstatite (En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86-87</w:t>
      </w:r>
      <w:r w:rsidRPr="003F138E">
        <w:rPr>
          <w:rFonts w:ascii="Avenir" w:eastAsia="Avenir" w:hAnsi="Avenir" w:cs="Avenir"/>
          <w:sz w:val="20"/>
          <w:szCs w:val="20"/>
        </w:rPr>
        <w:t>) compared to wollastonite (Wo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2-3</w:t>
      </w:r>
      <w:r w:rsidRPr="003F138E">
        <w:rPr>
          <w:rFonts w:ascii="Avenir" w:eastAsia="Avenir" w:hAnsi="Avenir" w:cs="Avenir"/>
          <w:sz w:val="20"/>
          <w:szCs w:val="20"/>
        </w:rPr>
        <w:t>) and ferrosilite (Fs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10-11</w:t>
      </w:r>
      <w:r w:rsidRPr="003F138E">
        <w:rPr>
          <w:rFonts w:ascii="Avenir" w:eastAsia="Avenir" w:hAnsi="Avenir" w:cs="Avenir"/>
          <w:sz w:val="20"/>
          <w:szCs w:val="20"/>
        </w:rPr>
        <w:t>).</w:t>
      </w:r>
      <w:r w:rsidR="00FC25A6">
        <w:rPr>
          <w:rFonts w:ascii="Avenir" w:eastAsia="Avenir" w:hAnsi="Avenir" w:cs="Avenir"/>
          <w:sz w:val="20"/>
          <w:szCs w:val="20"/>
        </w:rPr>
        <w:t xml:space="preserve"> </w:t>
      </w:r>
      <w:r w:rsidRPr="003F138E">
        <w:rPr>
          <w:rFonts w:ascii="Avenir" w:eastAsia="Avenir" w:hAnsi="Avenir" w:cs="Avenir"/>
          <w:sz w:val="20"/>
          <w:szCs w:val="20"/>
        </w:rPr>
        <w:t>The composition of clinopyroxene (Wo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42-44</w:t>
      </w:r>
      <w:r w:rsidRPr="003F138E">
        <w:rPr>
          <w:rFonts w:ascii="Avenir" w:eastAsia="Avenir" w:hAnsi="Avenir" w:cs="Avenir"/>
          <w:sz w:val="20"/>
          <w:szCs w:val="20"/>
        </w:rPr>
        <w:t>, En4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9-52</w:t>
      </w:r>
      <w:r w:rsidRPr="003F138E">
        <w:rPr>
          <w:rFonts w:ascii="Avenir" w:eastAsia="Avenir" w:hAnsi="Avenir" w:cs="Avenir"/>
          <w:sz w:val="20"/>
          <w:szCs w:val="20"/>
        </w:rPr>
        <w:t>, Fs</w:t>
      </w:r>
      <w:r w:rsidRPr="003F138E">
        <w:rPr>
          <w:rFonts w:ascii="Avenir" w:eastAsia="Avenir" w:hAnsi="Avenir" w:cs="Avenir"/>
          <w:sz w:val="20"/>
          <w:szCs w:val="20"/>
          <w:vertAlign w:val="subscript"/>
        </w:rPr>
        <w:t>5-7</w:t>
      </w:r>
      <w:r w:rsidRPr="003F138E">
        <w:rPr>
          <w:rFonts w:ascii="Avenir" w:eastAsia="Avenir" w:hAnsi="Avenir" w:cs="Avenir"/>
          <w:sz w:val="20"/>
          <w:szCs w:val="20"/>
        </w:rPr>
        <w:t>)</w:t>
      </w:r>
      <w:r>
        <w:rPr>
          <w:rFonts w:ascii="Avenir" w:eastAsia="Avenir" w:hAnsi="Avenir" w:cs="Avenir"/>
          <w:sz w:val="20"/>
          <w:szCs w:val="20"/>
        </w:rPr>
        <w:t xml:space="preserve"> </w:t>
      </w:r>
      <w:r w:rsidRPr="003F138E">
        <w:rPr>
          <w:rFonts w:ascii="Avenir" w:eastAsia="Avenir" w:hAnsi="Avenir" w:cs="Avenir"/>
          <w:sz w:val="20"/>
          <w:szCs w:val="20"/>
        </w:rPr>
        <w:t>is more variable than the coexisting olivine and orthopyroxene. It shows a wider range of Mg# (0.88-0.91) in wehrlite compared to the almost constant Mg# (0.88) of the lherzolite.</w:t>
      </w:r>
      <w:r>
        <w:rPr>
          <w:rFonts w:ascii="Avenir" w:eastAsia="Avenir" w:hAnsi="Avenir" w:cs="Avenir"/>
          <w:sz w:val="20"/>
          <w:szCs w:val="20"/>
        </w:rPr>
        <w:t xml:space="preserve"> Thus, p</w:t>
      </w:r>
      <w:r w:rsidRPr="003F138E">
        <w:rPr>
          <w:rFonts w:ascii="Avenir" w:eastAsia="Avenir" w:hAnsi="Avenir" w:cs="Avenir"/>
          <w:sz w:val="20"/>
          <w:szCs w:val="20"/>
        </w:rPr>
        <w:t>etrographic evidence</w:t>
      </w:r>
      <w:r>
        <w:rPr>
          <w:rFonts w:ascii="Avenir" w:eastAsia="Avenir" w:hAnsi="Avenir" w:cs="Avenir"/>
          <w:sz w:val="20"/>
          <w:szCs w:val="20"/>
        </w:rPr>
        <w:t>s</w:t>
      </w:r>
      <w:r w:rsidRPr="003F138E">
        <w:rPr>
          <w:rFonts w:ascii="Avenir" w:eastAsia="Avenir" w:hAnsi="Avenir" w:cs="Avenir"/>
          <w:sz w:val="20"/>
          <w:szCs w:val="20"/>
        </w:rPr>
        <w:t xml:space="preserve"> and mineralogical compositions of Mt. Vulture xenoliths are consistent with an origin in the upper mantle. </w:t>
      </w:r>
    </w:p>
    <w:p w14:paraId="48C7C58C" w14:textId="4F8F55E4" w:rsidR="00AB2037" w:rsidRPr="00FC25A6" w:rsidRDefault="006B089A">
      <w:pPr>
        <w:spacing w:after="120" w:line="240" w:lineRule="auto"/>
        <w:jc w:val="both"/>
        <w:rPr>
          <w:rFonts w:ascii="Avenir" w:eastAsia="Avenir" w:hAnsi="Avenir" w:cs="Avenir"/>
          <w:sz w:val="20"/>
          <w:szCs w:val="20"/>
        </w:rPr>
      </w:pPr>
      <w:r w:rsidRPr="006B089A">
        <w:rPr>
          <w:rFonts w:ascii="Avenir" w:eastAsia="Avenir" w:hAnsi="Avenir" w:cs="Avenir"/>
          <w:sz w:val="20"/>
          <w:szCs w:val="20"/>
        </w:rPr>
        <w:t xml:space="preserve">FIs are generally rounded (2-10 μm in diameter) with re-equilibration features, such as (i) the presence of dark halos (Bodnar, 2003), and (ii) stretched shapes (Figure </w:t>
      </w:r>
      <w:r>
        <w:rPr>
          <w:rFonts w:ascii="Avenir" w:eastAsia="Avenir" w:hAnsi="Avenir" w:cs="Avenir"/>
          <w:sz w:val="20"/>
          <w:szCs w:val="20"/>
        </w:rPr>
        <w:t>1</w:t>
      </w:r>
      <w:r w:rsidRPr="006B089A">
        <w:rPr>
          <w:rFonts w:ascii="Avenir" w:eastAsia="Avenir" w:hAnsi="Avenir" w:cs="Avenir"/>
          <w:sz w:val="20"/>
          <w:szCs w:val="20"/>
        </w:rPr>
        <w:t>). No primary FIs were found, and clinopyroxene is the main host for secondary FIs (i.e. trapped after the crystal growth).</w:t>
      </w:r>
      <w:r w:rsidR="0059686F">
        <w:rPr>
          <w:rFonts w:ascii="Avenir" w:eastAsia="Avenir" w:hAnsi="Avenir" w:cs="Avenir"/>
          <w:sz w:val="20"/>
          <w:szCs w:val="20"/>
        </w:rPr>
        <w:t xml:space="preserve"> </w:t>
      </w:r>
      <w:r w:rsidRPr="006B089A">
        <w:rPr>
          <w:rFonts w:ascii="Avenir" w:eastAsia="Avenir" w:hAnsi="Avenir" w:cs="Avenir"/>
          <w:sz w:val="20"/>
          <w:szCs w:val="20"/>
        </w:rPr>
        <w:t xml:space="preserve">In all studied xenoliths, FIs are </w:t>
      </w:r>
      <w:r w:rsidRPr="003F138E">
        <w:rPr>
          <w:rFonts w:ascii="Avenir" w:eastAsia="Avenir" w:hAnsi="Avenir" w:cs="Avenir"/>
          <w:sz w:val="20"/>
          <w:szCs w:val="20"/>
        </w:rPr>
        <w:t>CO</w:t>
      </w:r>
      <w:r w:rsidRPr="0059686F">
        <w:rPr>
          <w:rFonts w:ascii="Avenir" w:eastAsia="Avenir" w:hAnsi="Avenir" w:cs="Avenir"/>
          <w:sz w:val="20"/>
          <w:szCs w:val="20"/>
          <w:vertAlign w:val="subscript"/>
        </w:rPr>
        <w:t>2</w:t>
      </w:r>
      <w:r w:rsidRPr="003F138E">
        <w:rPr>
          <w:rFonts w:ascii="Avenir" w:eastAsia="Avenir" w:hAnsi="Avenir" w:cs="Avenir"/>
          <w:sz w:val="20"/>
          <w:szCs w:val="20"/>
        </w:rPr>
        <w:t>-dominated</w:t>
      </w:r>
      <w:r w:rsidRPr="006B089A">
        <w:rPr>
          <w:rFonts w:ascii="Avenir" w:eastAsia="Avenir" w:hAnsi="Avenir" w:cs="Avenir"/>
          <w:sz w:val="20"/>
          <w:szCs w:val="20"/>
        </w:rPr>
        <w:t xml:space="preserve"> </w:t>
      </w:r>
      <w:r>
        <w:rPr>
          <w:rFonts w:ascii="Avenir" w:eastAsia="Avenir" w:hAnsi="Avenir" w:cs="Avenir"/>
          <w:sz w:val="20"/>
          <w:szCs w:val="20"/>
        </w:rPr>
        <w:t xml:space="preserve">with </w:t>
      </w:r>
      <w:r w:rsidRPr="006B089A">
        <w:rPr>
          <w:rFonts w:ascii="Avenir" w:eastAsia="Avenir" w:hAnsi="Avenir" w:cs="Avenir"/>
          <w:sz w:val="20"/>
          <w:szCs w:val="20"/>
        </w:rPr>
        <w:t>melting temperatures (Tm) ranging between -56.5 and -57.0 °C (± 0.1 °C),</w:t>
      </w:r>
      <w:r>
        <w:rPr>
          <w:rFonts w:ascii="Avenir" w:eastAsia="Avenir" w:hAnsi="Avenir" w:cs="Avenir"/>
          <w:sz w:val="20"/>
          <w:szCs w:val="20"/>
        </w:rPr>
        <w:t xml:space="preserve"> and</w:t>
      </w:r>
      <w:r w:rsidRPr="006B089A">
        <w:rPr>
          <w:rFonts w:ascii="Avenir" w:eastAsia="Avenir" w:hAnsi="Avenir" w:cs="Avenir"/>
          <w:sz w:val="20"/>
          <w:szCs w:val="20"/>
        </w:rPr>
        <w:t xml:space="preserve"> with variable homogenisation temperatures from the vapour to the liquid phase (Th</w:t>
      </w:r>
      <w:r w:rsidRPr="006B089A">
        <w:rPr>
          <w:rFonts w:ascii="Avenir" w:eastAsia="Avenir" w:hAnsi="Avenir" w:cs="Avenir"/>
          <w:sz w:val="20"/>
          <w:szCs w:val="20"/>
          <w:vertAlign w:val="subscript"/>
        </w:rPr>
        <w:t>L</w:t>
      </w:r>
      <w:r w:rsidRPr="006B089A">
        <w:rPr>
          <w:rFonts w:ascii="Avenir" w:eastAsia="Avenir" w:hAnsi="Avenir" w:cs="Avenir"/>
          <w:sz w:val="20"/>
          <w:szCs w:val="20"/>
        </w:rPr>
        <w:t xml:space="preserve">). </w:t>
      </w:r>
      <w:r w:rsidR="003F138E" w:rsidRPr="003F138E">
        <w:rPr>
          <w:rFonts w:ascii="Avenir" w:eastAsia="Avenir" w:hAnsi="Avenir" w:cs="Avenir"/>
          <w:sz w:val="20"/>
          <w:szCs w:val="20"/>
        </w:rPr>
        <w:t xml:space="preserve">The equilibrium temperature calculated by geothermometric estimates ranges from 1039 °C (± 36 °C) to 1142 °C (± 15 °C), and entrapment pressures of </w:t>
      </w:r>
      <w:r>
        <w:rPr>
          <w:rFonts w:ascii="Avenir" w:eastAsia="Avenir" w:hAnsi="Avenir" w:cs="Avenir"/>
          <w:sz w:val="20"/>
          <w:szCs w:val="20"/>
        </w:rPr>
        <w:t>FIs</w:t>
      </w:r>
      <w:r w:rsidR="003F138E" w:rsidRPr="003F138E">
        <w:rPr>
          <w:rFonts w:ascii="Avenir" w:eastAsia="Avenir" w:hAnsi="Avenir" w:cs="Avenir"/>
          <w:sz w:val="20"/>
          <w:szCs w:val="20"/>
        </w:rPr>
        <w:t xml:space="preserve"> with post-trapping re-equilibration correspond to the local crust-mantle boundary (32 km depth), and to a shallow reservoir located at 12-14 km depth. These results contribute to constrain the origin of these xenoliths and the depth of storage of magmas erupted from Mt. Vulture</w:t>
      </w:r>
      <w:r w:rsidR="0059686F">
        <w:rPr>
          <w:rFonts w:ascii="Avenir" w:eastAsia="Avenir" w:hAnsi="Avenir" w:cs="Avenir"/>
          <w:sz w:val="20"/>
          <w:szCs w:val="20"/>
        </w:rPr>
        <w:t>.</w:t>
      </w:r>
      <w:r w:rsidR="003F138E" w:rsidRPr="003F138E">
        <w:rPr>
          <w:rFonts w:ascii="Avenir" w:eastAsia="Avenir" w:hAnsi="Avenir" w:cs="Avenir"/>
          <w:sz w:val="20"/>
          <w:szCs w:val="20"/>
        </w:rPr>
        <w:t xml:space="preserve"> </w:t>
      </w:r>
    </w:p>
    <w:p w14:paraId="4200A97E" w14:textId="74D65AC8" w:rsidR="003F1B89" w:rsidRPr="00D6039E" w:rsidRDefault="0040266B" w:rsidP="00D6039E">
      <w:pPr>
        <w:spacing w:after="120" w:line="240" w:lineRule="auto"/>
        <w:jc w:val="both"/>
        <w:rPr>
          <w:rFonts w:ascii="Verdana" w:eastAsia="Verdana" w:hAnsi="Verdana" w:cs="Verdana"/>
          <w:i/>
          <w:sz w:val="18"/>
          <w:szCs w:val="18"/>
        </w:rPr>
      </w:pPr>
      <w:r>
        <w:rPr>
          <w:noProof/>
        </w:rPr>
        <w:drawing>
          <wp:inline distT="0" distB="0" distL="0" distR="0" wp14:anchorId="57E03FD8" wp14:editId="5E659CFF">
            <wp:extent cx="2637155" cy="1704340"/>
            <wp:effectExtent l="0" t="0" r="0" b="0"/>
            <wp:docPr id="20045720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7155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venir" w:eastAsia="Avenir" w:hAnsi="Avenir" w:cs="Avenir"/>
          <w:i/>
          <w:sz w:val="18"/>
          <w:szCs w:val="18"/>
        </w:rPr>
        <w:t xml:space="preserve">Fig. 1: </w:t>
      </w:r>
      <w:r w:rsidR="00FC25A6" w:rsidRPr="00FC25A6">
        <w:rPr>
          <w:rFonts w:ascii="Avenir" w:eastAsia="Avenir" w:hAnsi="Avenir" w:cs="Avenir"/>
          <w:i/>
          <w:sz w:val="18"/>
          <w:szCs w:val="18"/>
        </w:rPr>
        <w:t xml:space="preserve">Plane-polarized light (PPL) photomicrographs of textures of </w:t>
      </w:r>
      <w:r w:rsidR="0059686F">
        <w:rPr>
          <w:rFonts w:ascii="Avenir" w:eastAsia="Avenir" w:hAnsi="Avenir" w:cs="Avenir"/>
          <w:i/>
          <w:sz w:val="18"/>
          <w:szCs w:val="18"/>
        </w:rPr>
        <w:t>FIs</w:t>
      </w:r>
      <w:r w:rsidR="00FC25A6" w:rsidRPr="00FC25A6">
        <w:rPr>
          <w:rFonts w:ascii="Avenir" w:eastAsia="Avenir" w:hAnsi="Avenir" w:cs="Avenir"/>
          <w:i/>
          <w:sz w:val="18"/>
          <w:szCs w:val="18"/>
        </w:rPr>
        <w:t xml:space="preserve"> trapped in (a) olivine, (b) orthopyroxene,</w:t>
      </w:r>
      <w:r>
        <w:rPr>
          <w:rFonts w:ascii="Avenir" w:eastAsia="Avenir" w:hAnsi="Avenir" w:cs="Avenir"/>
          <w:i/>
          <w:sz w:val="18"/>
          <w:szCs w:val="18"/>
        </w:rPr>
        <w:t xml:space="preserve"> and</w:t>
      </w:r>
      <w:r w:rsidR="00FC25A6" w:rsidRPr="00FC25A6">
        <w:rPr>
          <w:rFonts w:ascii="Avenir" w:eastAsia="Avenir" w:hAnsi="Avenir" w:cs="Avenir"/>
          <w:i/>
          <w:sz w:val="18"/>
          <w:szCs w:val="18"/>
        </w:rPr>
        <w:t xml:space="preserve"> (c</w:t>
      </w:r>
      <w:r w:rsidR="0059686F">
        <w:rPr>
          <w:rFonts w:ascii="Avenir" w:eastAsia="Avenir" w:hAnsi="Avenir" w:cs="Avenir"/>
          <w:i/>
          <w:sz w:val="18"/>
          <w:szCs w:val="18"/>
        </w:rPr>
        <w:t>,d</w:t>
      </w:r>
      <w:r w:rsidR="00FC25A6" w:rsidRPr="00FC25A6">
        <w:rPr>
          <w:rFonts w:ascii="Avenir" w:eastAsia="Avenir" w:hAnsi="Avenir" w:cs="Avenir"/>
          <w:i/>
          <w:sz w:val="18"/>
          <w:szCs w:val="18"/>
        </w:rPr>
        <w:t>) clinopyroxene</w:t>
      </w:r>
      <w:r w:rsidR="0059686F">
        <w:rPr>
          <w:rFonts w:ascii="Avenir" w:eastAsia="Avenir" w:hAnsi="Avenir" w:cs="Avenir"/>
          <w:i/>
          <w:sz w:val="18"/>
          <w:szCs w:val="18"/>
        </w:rPr>
        <w:t>.</w:t>
      </w:r>
    </w:p>
    <w:p w14:paraId="3A5B335E" w14:textId="2E7327F5" w:rsidR="003A7603" w:rsidRDefault="003A7603" w:rsidP="003A7603">
      <w:pPr>
        <w:ind w:left="284" w:hanging="284"/>
        <w:jc w:val="both"/>
        <w:rPr>
          <w:rFonts w:ascii="Avenir" w:eastAsia="Avenir" w:hAnsi="Avenir" w:cs="Avenir"/>
          <w:sz w:val="18"/>
          <w:szCs w:val="18"/>
        </w:rPr>
      </w:pPr>
      <w:r>
        <w:rPr>
          <w:rFonts w:ascii="Avenir" w:eastAsia="Avenir" w:hAnsi="Avenir" w:cs="Avenir"/>
          <w:sz w:val="18"/>
          <w:szCs w:val="18"/>
        </w:rPr>
        <w:t>REFERENCES</w:t>
      </w:r>
      <w:r w:rsidR="003F1B89">
        <w:rPr>
          <w:rFonts w:ascii="Avenir" w:eastAsia="Avenir" w:hAnsi="Avenir" w:cs="Avenir"/>
          <w:sz w:val="18"/>
          <w:szCs w:val="18"/>
        </w:rPr>
        <w:t>:</w:t>
      </w:r>
    </w:p>
    <w:p w14:paraId="22943B51" w14:textId="4EBCC194" w:rsidR="00AB2037" w:rsidRDefault="00BB5B9E" w:rsidP="003A7603">
      <w:pPr>
        <w:ind w:left="284" w:hanging="284"/>
        <w:jc w:val="both"/>
        <w:rPr>
          <w:rFonts w:ascii="Avenir" w:eastAsia="Avenir" w:hAnsi="Avenir" w:cs="Avenir"/>
          <w:sz w:val="18"/>
          <w:szCs w:val="18"/>
        </w:rPr>
      </w:pPr>
      <w:r w:rsidRPr="003A7603">
        <w:rPr>
          <w:rFonts w:ascii="Avenir" w:eastAsia="Avenir" w:hAnsi="Avenir" w:cs="Avenir"/>
          <w:sz w:val="18"/>
          <w:szCs w:val="18"/>
        </w:rPr>
        <w:t>Bodnar, R. J. (2003). Reequilibration of fluid inclusions. In I. Sampson, A. Anderson, &amp; D. Marshall (Eds.), Fluid inclusions: Analysis and Interpretation (Vol. 32, pp. 213–230). Mineralogical Association of Canada.</w:t>
      </w:r>
    </w:p>
    <w:p w14:paraId="79DEFD51" w14:textId="1A3AFD37" w:rsidR="003A7603" w:rsidRPr="003A7603" w:rsidRDefault="003A7603" w:rsidP="003A7603">
      <w:pPr>
        <w:ind w:left="284" w:hanging="284"/>
        <w:jc w:val="both"/>
        <w:rPr>
          <w:rFonts w:ascii="Avenir" w:eastAsia="Avenir" w:hAnsi="Avenir" w:cs="Avenir"/>
          <w:sz w:val="18"/>
          <w:szCs w:val="18"/>
        </w:rPr>
      </w:pPr>
      <w:r w:rsidRPr="003A7603">
        <w:rPr>
          <w:rFonts w:ascii="Avenir" w:eastAsia="Avenir" w:hAnsi="Avenir" w:cs="Avenir"/>
          <w:sz w:val="18"/>
          <w:szCs w:val="18"/>
        </w:rPr>
        <w:t>Carnevale, G., Caracausi, A., Rotolo, S. G., Paternoster, M., &amp; Zanon, V. (2022). New Inferences on Magma Dynamics in Melilitite-Carbonatite Volcanoes: The Case Study of Mt. Vulture (Southern Italy). Geophysical Research Letters, 49, e2022GL099075. https://doi.org/10.1029/2022GL099075</w:t>
      </w:r>
    </w:p>
    <w:sectPr w:rsidR="003A7603" w:rsidRPr="003A7603">
      <w:type w:val="continuous"/>
      <w:pgSz w:w="11906" w:h="16838"/>
      <w:pgMar w:top="1440" w:right="1440" w:bottom="1440" w:left="1440" w:header="708" w:footer="708" w:gutter="0"/>
      <w:cols w:num="2" w:space="720" w:equalWidth="0">
        <w:col w:w="4159" w:space="708"/>
        <w:col w:w="4159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  <w:embedRegular r:id="rId1" w:fontKey="{3F075BD6-9B04-4D34-B67E-DB0C611DC8D5}"/>
    <w:embedItalic r:id="rId2" w:fontKey="{4A9B8FF0-8AA6-4922-BAAA-B3ECFA0DDA63}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  <w:embedRegular r:id="rId3" w:fontKey="{927D9C2D-632D-4B72-AEC2-CFC81205214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">
    <w:altName w:val="Calibri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4" w:fontKey="{7D5A6324-42D1-4D23-9793-2BA39CEAF8C0}"/>
    <w:embedItalic r:id="rId5" w:fontKey="{D3DD39D7-5142-4EBD-BFD5-6DFBBECAA02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2037"/>
    <w:rsid w:val="002E6068"/>
    <w:rsid w:val="003A7603"/>
    <w:rsid w:val="003F138E"/>
    <w:rsid w:val="003F1B89"/>
    <w:rsid w:val="0040266B"/>
    <w:rsid w:val="0059686F"/>
    <w:rsid w:val="006B089A"/>
    <w:rsid w:val="00777105"/>
    <w:rsid w:val="00AA1CEA"/>
    <w:rsid w:val="00AB2037"/>
    <w:rsid w:val="00BB5B9E"/>
    <w:rsid w:val="00D1027A"/>
    <w:rsid w:val="00D6039E"/>
    <w:rsid w:val="00FC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2E01D"/>
  <w15:docId w15:val="{E4339605-71E1-4AF6-A90B-6A93B7176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2"/>
        <w:szCs w:val="22"/>
        <w:lang w:val="it-IT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E2B1D"/>
    <w:rPr>
      <w:lang w:val="is-I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E2B1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2B1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2B1D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GB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2B1D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val="en-GB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2B1D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val="en-GB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2B1D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en-GB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2B1D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val="en-GB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2B1D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val="en-GB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2B1D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6E2B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E2B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2B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2B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2B1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2B1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2B1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2B1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2B1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2B1D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6E2B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line="278" w:lineRule="auto"/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2B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2B1D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:lang w:val="en-GB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2B1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2B1D"/>
    <w:pPr>
      <w:spacing w:line="278" w:lineRule="auto"/>
      <w:ind w:left="720"/>
      <w:contextualSpacing/>
    </w:pPr>
    <w:rPr>
      <w:kern w:val="2"/>
      <w:sz w:val="24"/>
      <w:szCs w:val="24"/>
      <w:lang w:val="en-GB"/>
    </w:rPr>
  </w:style>
  <w:style w:type="character" w:styleId="Enfasiintensa">
    <w:name w:val="Intense Emphasis"/>
    <w:basedOn w:val="Carpredefinitoparagrafo"/>
    <w:uiPriority w:val="21"/>
    <w:qFormat/>
    <w:rsid w:val="006E2B1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2B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:lang w:val="en-GB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2B1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2B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YcM4sa0eaykvZf+Mi54D/WkQcw==">CgMxLjA4AHIhMVdXQXBreHBNdjM4WGR4VkNrdzY1YzFBbTk0RERNRVpJ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604</Words>
  <Characters>3443</Characters>
  <Application>Microsoft Office Word</Application>
  <DocSecurity>0</DocSecurity>
  <Lines>28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Maffeis</dc:creator>
  <cp:lastModifiedBy>Michele Paternoster</cp:lastModifiedBy>
  <cp:revision>2</cp:revision>
  <dcterms:created xsi:type="dcterms:W3CDTF">2025-08-25T14:14:00Z</dcterms:created>
  <dcterms:modified xsi:type="dcterms:W3CDTF">2025-08-25T14:14:00Z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5145cfa1-bf80-4efc-bb0b-892e20a266c8</vt:lpwstr>
  </property>
</Properties>
</file>